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69" w:rsidRDefault="000F1769" w:rsidP="004055F9">
      <w:bookmarkStart w:id="0" w:name="_GoBack"/>
      <w:bookmarkEnd w:id="0"/>
    </w:p>
    <w:p w:rsidR="000F1769" w:rsidRPr="000F1769" w:rsidRDefault="000F1769" w:rsidP="000F1769">
      <w:pPr>
        <w:pStyle w:val="Listenabsatz"/>
        <w:rPr>
          <w:b/>
          <w:sz w:val="28"/>
          <w:szCs w:val="28"/>
        </w:rPr>
      </w:pPr>
      <w:r w:rsidRPr="000F1769">
        <w:rPr>
          <w:b/>
          <w:sz w:val="28"/>
          <w:szCs w:val="28"/>
        </w:rPr>
        <w:t>Zusammenfassung Gespräch zur Gesundheitsuntersuchung</w:t>
      </w:r>
      <w:r w:rsidR="00316C0C">
        <w:rPr>
          <w:b/>
          <w:sz w:val="28"/>
          <w:szCs w:val="28"/>
        </w:rPr>
        <w:t xml:space="preserve"> 14.12.2019 im Rahmen der Offenen Trägertagung weltwärts</w:t>
      </w:r>
    </w:p>
    <w:p w:rsidR="000F1769" w:rsidRDefault="000F1769" w:rsidP="000F1769">
      <w:pPr>
        <w:pStyle w:val="Listenabsatz"/>
      </w:pPr>
    </w:p>
    <w:p w:rsidR="00AF58A1" w:rsidRDefault="00316C0C" w:rsidP="004055F9">
      <w:pPr>
        <w:pStyle w:val="Listenabsatz"/>
        <w:numPr>
          <w:ilvl w:val="0"/>
          <w:numId w:val="1"/>
        </w:numPr>
      </w:pPr>
      <w:r w:rsidRPr="00316C0C">
        <w:rPr>
          <w:b/>
        </w:rPr>
        <w:t>Formular:</w:t>
      </w:r>
      <w:r>
        <w:t xml:space="preserve"> Es kam der </w:t>
      </w:r>
      <w:r w:rsidR="004055F9">
        <w:t>Wunsch</w:t>
      </w:r>
      <w:r>
        <w:t xml:space="preserve"> auf,</w:t>
      </w:r>
      <w:r w:rsidR="004055F9">
        <w:t xml:space="preserve"> das Formular so zu erstellen, dass man es als Serienbrief befüllen kann, bzw. dass Serienbrieffelder enthalten sind. Hintergrund </w:t>
      </w:r>
      <w:r>
        <w:t xml:space="preserve">hierfür </w:t>
      </w:r>
      <w:r w:rsidR="004055F9">
        <w:t>ist, dass der Träger schon das Land und die Einsatzstelle eintragen kann</w:t>
      </w:r>
      <w:r>
        <w:t xml:space="preserve"> und sicherstellen kann, dass der Arzt richtig informiert ist</w:t>
      </w:r>
      <w:r w:rsidR="004055F9">
        <w:t>.</w:t>
      </w:r>
    </w:p>
    <w:p w:rsidR="009D436F" w:rsidRPr="00D41C6E" w:rsidRDefault="00D41C6E" w:rsidP="009D436F">
      <w:pPr>
        <w:pStyle w:val="Listenabsatz"/>
        <w:rPr>
          <w:color w:val="0070C0"/>
        </w:rPr>
      </w:pPr>
      <w:r w:rsidRPr="00D41C6E">
        <w:rPr>
          <w:color w:val="0070C0"/>
          <w:u w:val="single"/>
        </w:rPr>
        <w:t>Antwort</w:t>
      </w:r>
      <w:r w:rsidR="009D436F" w:rsidRPr="00D41C6E">
        <w:rPr>
          <w:color w:val="0070C0"/>
        </w:rPr>
        <w:t>: Die Formulare sind Worddokumente (ohne Zwischenfülltext). Damit können diese nach Ausdruck sowohl handschriftlich (ein Wunsch der Träger) als auch mit Vore</w:t>
      </w:r>
      <w:r w:rsidR="004921AC" w:rsidRPr="00D41C6E">
        <w:rPr>
          <w:color w:val="0070C0"/>
        </w:rPr>
        <w:t>intragung der Länder / Bereiche weiter bearbeitet werden.</w:t>
      </w:r>
    </w:p>
    <w:p w:rsidR="00316C0C" w:rsidRDefault="00316C0C" w:rsidP="004055F9">
      <w:pPr>
        <w:pStyle w:val="Listenabsatz"/>
        <w:numPr>
          <w:ilvl w:val="0"/>
          <w:numId w:val="1"/>
        </w:numPr>
      </w:pPr>
      <w:r w:rsidRPr="00316C0C">
        <w:rPr>
          <w:b/>
        </w:rPr>
        <w:t>Rückkehr:</w:t>
      </w:r>
      <w:r>
        <w:t xml:space="preserve"> </w:t>
      </w:r>
    </w:p>
    <w:p w:rsidR="00316C0C" w:rsidRDefault="00316C0C" w:rsidP="00316C0C">
      <w:pPr>
        <w:pStyle w:val="Listenabsatz"/>
        <w:numPr>
          <w:ilvl w:val="1"/>
          <w:numId w:val="1"/>
        </w:numPr>
      </w:pPr>
      <w:r w:rsidRPr="00316C0C">
        <w:rPr>
          <w:b/>
        </w:rPr>
        <w:t>Abbruch:</w:t>
      </w:r>
      <w:r>
        <w:t xml:space="preserve"> Zu klären ist</w:t>
      </w:r>
      <w:r w:rsidR="004055F9">
        <w:t>, ob auch eine Gesundhe</w:t>
      </w:r>
      <w:r w:rsidR="004055F9" w:rsidRPr="00D41C6E">
        <w:t>its</w:t>
      </w:r>
      <w:r w:rsidR="009D436F" w:rsidRPr="00D41C6E">
        <w:t>nach</w:t>
      </w:r>
      <w:r w:rsidR="004055F9" w:rsidRPr="00D41C6E">
        <w:t>unt</w:t>
      </w:r>
      <w:r w:rsidR="004055F9">
        <w:t xml:space="preserve">ersuchung stattfinden soll, wenn es zu einem Abbruch innerhalb der ersten drei Monate des Dienstes kam. </w:t>
      </w:r>
      <w:r>
        <w:t>D</w:t>
      </w:r>
      <w:r w:rsidR="004055F9">
        <w:t>a z.B. ein Amöbenbefall auch nach einer Woche stattgefunden haben kann</w:t>
      </w:r>
      <w:r>
        <w:t>, würde ich diese Frage positiv beantworten</w:t>
      </w:r>
      <w:r w:rsidR="004055F9">
        <w:t>.</w:t>
      </w:r>
      <w:r w:rsidR="00210F34">
        <w:t xml:space="preserve"> </w:t>
      </w:r>
    </w:p>
    <w:p w:rsidR="009D436F" w:rsidRPr="00D41C6E" w:rsidRDefault="00D41C6E" w:rsidP="009D436F">
      <w:pPr>
        <w:pStyle w:val="Listenabsatz"/>
        <w:ind w:left="1440"/>
      </w:pPr>
      <w:r>
        <w:rPr>
          <w:u w:val="single"/>
        </w:rPr>
        <w:t>Antwort</w:t>
      </w:r>
      <w:r>
        <w:t xml:space="preserve">: </w:t>
      </w:r>
      <w:r w:rsidR="009D436F" w:rsidRPr="00D41C6E">
        <w:t>Ja, Nachuntersuchung auch in diesen Fällen.</w:t>
      </w:r>
    </w:p>
    <w:p w:rsidR="00316C0C" w:rsidRDefault="00316C0C" w:rsidP="00190287">
      <w:pPr>
        <w:pStyle w:val="Listenabsatz"/>
        <w:numPr>
          <w:ilvl w:val="1"/>
          <w:numId w:val="1"/>
        </w:numPr>
      </w:pPr>
      <w:r w:rsidRPr="00316C0C">
        <w:rPr>
          <w:b/>
        </w:rPr>
        <w:t>Termin:</w:t>
      </w:r>
      <w:r>
        <w:t xml:space="preserve"> Es kam der</w:t>
      </w:r>
      <w:r w:rsidR="00210F34">
        <w:t xml:space="preserve"> Hinweis, dass eine Rückkehruntersuchung innerhalb von 8 Wochen schwer möglich ist, da die FW nach Rückkehr erst einen Termin machen wollen, aber so schnell keinen bekommen.</w:t>
      </w:r>
      <w:r w:rsidR="000F1769">
        <w:t xml:space="preserve"> Im Übrigen brauchen auch einige Krankheiten Zeit um auszubrechen.</w:t>
      </w:r>
      <w:r>
        <w:t xml:space="preserve"> </w:t>
      </w:r>
    </w:p>
    <w:p w:rsidR="009D436F" w:rsidRPr="009D436F" w:rsidRDefault="00D41C6E" w:rsidP="009D436F">
      <w:pPr>
        <w:pStyle w:val="Listenabsatz"/>
        <w:ind w:left="1440"/>
      </w:pPr>
      <w:r w:rsidRPr="00D41C6E">
        <w:rPr>
          <w:color w:val="0070C0"/>
          <w:u w:val="single"/>
        </w:rPr>
        <w:t>Antwort</w:t>
      </w:r>
      <w:r w:rsidR="009D436F">
        <w:rPr>
          <w:color w:val="0070C0"/>
          <w:u w:val="single"/>
        </w:rPr>
        <w:t xml:space="preserve">: </w:t>
      </w:r>
      <w:r w:rsidR="009D436F">
        <w:rPr>
          <w:color w:val="0070C0"/>
        </w:rPr>
        <w:t>Anpassung auf „innerhalb von 8-12 Wochen“</w:t>
      </w:r>
    </w:p>
    <w:p w:rsidR="004055F9" w:rsidRDefault="00316C0C" w:rsidP="00190287">
      <w:pPr>
        <w:pStyle w:val="Listenabsatz"/>
        <w:numPr>
          <w:ilvl w:val="1"/>
          <w:numId w:val="1"/>
        </w:numPr>
      </w:pPr>
      <w:r>
        <w:t>H</w:t>
      </w:r>
      <w:r w:rsidR="004055F9">
        <w:t>inweis, dass gerade Rückkehruntersuchungen sehr teuer geworden sind.</w:t>
      </w:r>
    </w:p>
    <w:p w:rsidR="009D436F" w:rsidRPr="009D436F" w:rsidRDefault="00D41C6E" w:rsidP="009D436F">
      <w:pPr>
        <w:pStyle w:val="Listenabsatz"/>
        <w:ind w:left="1440"/>
      </w:pPr>
      <w:r w:rsidRPr="00D41C6E">
        <w:rPr>
          <w:color w:val="0070C0"/>
          <w:u w:val="single"/>
        </w:rPr>
        <w:t>Antwort</w:t>
      </w:r>
      <w:r w:rsidR="009D436F">
        <w:rPr>
          <w:color w:val="0070C0"/>
          <w:u w:val="single"/>
        </w:rPr>
        <w:t xml:space="preserve">: </w:t>
      </w:r>
      <w:r w:rsidR="009D436F">
        <w:rPr>
          <w:color w:val="0070C0"/>
        </w:rPr>
        <w:t>Dies</w:t>
      </w:r>
      <w:r w:rsidR="00795425">
        <w:rPr>
          <w:color w:val="0070C0"/>
        </w:rPr>
        <w:t>es Problem (ebenso bei Voruntersuchungen)</w:t>
      </w:r>
      <w:r w:rsidR="009D436F">
        <w:rPr>
          <w:color w:val="0070C0"/>
        </w:rPr>
        <w:t xml:space="preserve"> sollte sich mit </w:t>
      </w:r>
      <w:r w:rsidR="00795425">
        <w:rPr>
          <w:color w:val="0070C0"/>
        </w:rPr>
        <w:t>Einführung der Ärztelisten (die das Verfahren kennen / akzeptieren) auflösen.</w:t>
      </w:r>
    </w:p>
    <w:p w:rsidR="00316C0C" w:rsidRDefault="00316C0C" w:rsidP="004055F9">
      <w:pPr>
        <w:pStyle w:val="Listenabsatz"/>
        <w:numPr>
          <w:ilvl w:val="0"/>
          <w:numId w:val="1"/>
        </w:numPr>
      </w:pPr>
      <w:r w:rsidRPr="00316C0C">
        <w:rPr>
          <w:b/>
        </w:rPr>
        <w:t>Malaria:</w:t>
      </w:r>
      <w:r>
        <w:t xml:space="preserve"> </w:t>
      </w:r>
    </w:p>
    <w:p w:rsidR="00316C0C" w:rsidRDefault="001041C3" w:rsidP="001041C3">
      <w:pPr>
        <w:pStyle w:val="Listenabsatz"/>
        <w:numPr>
          <w:ilvl w:val="1"/>
          <w:numId w:val="1"/>
        </w:numPr>
      </w:pPr>
      <w:r w:rsidRPr="001041C3">
        <w:rPr>
          <w:b/>
        </w:rPr>
        <w:t>Dauer:</w:t>
      </w:r>
      <w:r>
        <w:t xml:space="preserve"> </w:t>
      </w:r>
      <w:r w:rsidR="004055F9">
        <w:t>Wenige Freiwillige werden Malariamittel für ein Jahr nehmen, lassen es sich aber für ein Jahr verschreiben</w:t>
      </w:r>
      <w:r w:rsidR="00316C0C">
        <w:t>, was folgende Konsequenzen hat:</w:t>
      </w:r>
    </w:p>
    <w:p w:rsidR="001041C3" w:rsidRDefault="001041C3" w:rsidP="001041C3">
      <w:pPr>
        <w:pStyle w:val="Listenabsatz"/>
        <w:numPr>
          <w:ilvl w:val="2"/>
          <w:numId w:val="1"/>
        </w:numPr>
      </w:pPr>
      <w:r>
        <w:t xml:space="preserve">teuer, </w:t>
      </w:r>
    </w:p>
    <w:p w:rsidR="001041C3" w:rsidRDefault="001041C3" w:rsidP="001041C3">
      <w:pPr>
        <w:pStyle w:val="Listenabsatz"/>
        <w:numPr>
          <w:ilvl w:val="2"/>
          <w:numId w:val="1"/>
        </w:numPr>
      </w:pPr>
      <w:r>
        <w:t xml:space="preserve">möglich, dass damit Handel getrieben wird, </w:t>
      </w:r>
    </w:p>
    <w:p w:rsidR="00795425" w:rsidRDefault="001041C3" w:rsidP="00795425">
      <w:pPr>
        <w:pStyle w:val="Listenabsatz"/>
        <w:numPr>
          <w:ilvl w:val="2"/>
          <w:numId w:val="1"/>
        </w:numPr>
      </w:pPr>
      <w:r>
        <w:t>Resistenzen</w:t>
      </w:r>
    </w:p>
    <w:p w:rsidR="00795425" w:rsidRPr="00D41C6E" w:rsidRDefault="00D41C6E" w:rsidP="001041C3">
      <w:pPr>
        <w:pStyle w:val="Listenabsatz"/>
        <w:numPr>
          <w:ilvl w:val="1"/>
          <w:numId w:val="1"/>
        </w:numPr>
      </w:pPr>
      <w:r w:rsidRPr="00D41C6E">
        <w:rPr>
          <w:color w:val="0070C0"/>
          <w:u w:val="single"/>
        </w:rPr>
        <w:t>Antwort</w:t>
      </w:r>
      <w:r w:rsidR="004921AC" w:rsidRPr="00D41C6E">
        <w:rPr>
          <w:color w:val="0070C0"/>
        </w:rPr>
        <w:t>: I</w:t>
      </w:r>
      <w:r w:rsidR="00545D55" w:rsidRPr="00D41C6E">
        <w:rPr>
          <w:color w:val="0070C0"/>
        </w:rPr>
        <w:t xml:space="preserve">n einigen Fällen </w:t>
      </w:r>
      <w:r w:rsidR="004921AC" w:rsidRPr="00D41C6E">
        <w:rPr>
          <w:color w:val="0070C0"/>
        </w:rPr>
        <w:t xml:space="preserve">kann es </w:t>
      </w:r>
      <w:r w:rsidR="00545D55" w:rsidRPr="00D41C6E">
        <w:rPr>
          <w:color w:val="0070C0"/>
        </w:rPr>
        <w:t>erforderlich werden, die Malariaprophylaxe in Deutschland für 12 Monate zu verschreiben / zu beschaffen (</w:t>
      </w:r>
      <w:r w:rsidR="004921AC" w:rsidRPr="00D41C6E">
        <w:rPr>
          <w:color w:val="0070C0"/>
        </w:rPr>
        <w:t xml:space="preserve">bei Einsatz in </w:t>
      </w:r>
      <w:r w:rsidR="00545D55" w:rsidRPr="00D41C6E">
        <w:rPr>
          <w:color w:val="0070C0"/>
        </w:rPr>
        <w:t>Hochrisiko-Lände</w:t>
      </w:r>
      <w:r w:rsidR="004921AC" w:rsidRPr="00D41C6E">
        <w:rPr>
          <w:color w:val="0070C0"/>
        </w:rPr>
        <w:t>n</w:t>
      </w:r>
      <w:r w:rsidR="00545D55" w:rsidRPr="00D41C6E">
        <w:rPr>
          <w:color w:val="0070C0"/>
        </w:rPr>
        <w:t xml:space="preserve">, in denen </w:t>
      </w:r>
      <w:r w:rsidR="004921AC" w:rsidRPr="00D41C6E">
        <w:rPr>
          <w:color w:val="0070C0"/>
        </w:rPr>
        <w:t xml:space="preserve">zudem </w:t>
      </w:r>
      <w:r w:rsidR="00545D55" w:rsidRPr="00D41C6E">
        <w:rPr>
          <w:color w:val="0070C0"/>
        </w:rPr>
        <w:t xml:space="preserve">solche Präparate </w:t>
      </w:r>
      <w:r w:rsidR="004921AC" w:rsidRPr="00D41C6E">
        <w:rPr>
          <w:color w:val="0070C0"/>
        </w:rPr>
        <w:t xml:space="preserve">oftmals </w:t>
      </w:r>
      <w:r w:rsidR="00545D55" w:rsidRPr="00D41C6E">
        <w:rPr>
          <w:color w:val="0070C0"/>
        </w:rPr>
        <w:t>gefälscht werden)</w:t>
      </w:r>
      <w:r w:rsidR="00C53E7C" w:rsidRPr="00D41C6E">
        <w:rPr>
          <w:color w:val="0070C0"/>
        </w:rPr>
        <w:t xml:space="preserve">. </w:t>
      </w:r>
      <w:r w:rsidRPr="00D41C6E">
        <w:rPr>
          <w:color w:val="0070C0"/>
        </w:rPr>
        <w:t>Gg</w:t>
      </w:r>
      <w:r w:rsidR="00C53E7C" w:rsidRPr="00D41C6E">
        <w:rPr>
          <w:color w:val="0070C0"/>
        </w:rPr>
        <w:t>fs.</w:t>
      </w:r>
      <w:r w:rsidRPr="00D41C6E">
        <w:rPr>
          <w:color w:val="0070C0"/>
        </w:rPr>
        <w:t xml:space="preserve"> muss</w:t>
      </w:r>
      <w:r w:rsidR="00C53E7C" w:rsidRPr="00D41C6E">
        <w:rPr>
          <w:color w:val="0070C0"/>
        </w:rPr>
        <w:t xml:space="preserve"> die Organisation die Nachversorgung unterstützen. Resistenzen werden durch eine korrekt durchgeführte Malariaprophylaxe nicht ausgelöst. Dies geschieht aber durch „alternative“ Prophylaxen, z.B. Artemisin-Tees.</w:t>
      </w:r>
    </w:p>
    <w:p w:rsidR="00D41C6E" w:rsidRPr="00D41C6E" w:rsidRDefault="00D41C6E" w:rsidP="00D41C6E">
      <w:pPr>
        <w:pStyle w:val="Listenabsatz"/>
        <w:spacing w:line="240" w:lineRule="auto"/>
        <w:ind w:left="1440"/>
      </w:pPr>
    </w:p>
    <w:p w:rsidR="001041C3" w:rsidRDefault="001041C3" w:rsidP="001041C3">
      <w:pPr>
        <w:pStyle w:val="Listenabsatz"/>
        <w:numPr>
          <w:ilvl w:val="1"/>
          <w:numId w:val="1"/>
        </w:numPr>
      </w:pPr>
      <w:r w:rsidRPr="001041C3">
        <w:rPr>
          <w:b/>
        </w:rPr>
        <w:t>Psyche:</w:t>
      </w:r>
      <w:r>
        <w:t xml:space="preserve"> Außerdem gehen alle Malariamittel auf die Psyche. Erfahrungen zeigen, dass diese Mittel trotz des Hinweises auf psychische Vorerkrankungen verschrieben werden. </w:t>
      </w:r>
    </w:p>
    <w:p w:rsidR="00545D55" w:rsidRDefault="00D41C6E" w:rsidP="00545D55">
      <w:pPr>
        <w:pStyle w:val="Listenabsatz"/>
        <w:ind w:left="1440"/>
        <w:rPr>
          <w:color w:val="0070C0"/>
        </w:rPr>
      </w:pPr>
      <w:r w:rsidRPr="00D41C6E">
        <w:rPr>
          <w:color w:val="0070C0"/>
          <w:u w:val="single"/>
        </w:rPr>
        <w:t>Antwort</w:t>
      </w:r>
      <w:r>
        <w:rPr>
          <w:color w:val="0070C0"/>
        </w:rPr>
        <w:t xml:space="preserve">: </w:t>
      </w:r>
      <w:r w:rsidR="00C53E7C" w:rsidRPr="00D41C6E">
        <w:rPr>
          <w:color w:val="0070C0"/>
        </w:rPr>
        <w:t xml:space="preserve">Das ist so nicht richtig. Das Langzeit-Prophylaktikum </w:t>
      </w:r>
      <w:proofErr w:type="spellStart"/>
      <w:r w:rsidR="00C53E7C" w:rsidRPr="00D41C6E">
        <w:rPr>
          <w:color w:val="0070C0"/>
        </w:rPr>
        <w:t>Mefloquin</w:t>
      </w:r>
      <w:proofErr w:type="spellEnd"/>
      <w:r w:rsidR="00C53E7C" w:rsidRPr="00D41C6E">
        <w:rPr>
          <w:color w:val="0070C0"/>
        </w:rPr>
        <w:t xml:space="preserve"> kann in seltenen Fällen (&lt; 5%) bei bestimmten Personen psychiatrische Nebenwirkungen auslösen. Daher darf dieses nur nach einem Vorlauf von 3-4 Wochen außerhalb des Hochrisikogebietes und nach einem 2. Arztkontakt und mit besonderer Aufklärung </w:t>
      </w:r>
      <w:r w:rsidR="00C53E7C" w:rsidRPr="00D41C6E">
        <w:rPr>
          <w:color w:val="0070C0"/>
        </w:rPr>
        <w:lastRenderedPageBreak/>
        <w:t>verordnet werden.</w:t>
      </w:r>
      <w:r w:rsidR="00545D55" w:rsidRPr="00D41C6E">
        <w:rPr>
          <w:color w:val="0070C0"/>
        </w:rPr>
        <w:t xml:space="preserve"> </w:t>
      </w:r>
      <w:r w:rsidR="00C53E7C" w:rsidRPr="00D41C6E">
        <w:rPr>
          <w:color w:val="0070C0"/>
        </w:rPr>
        <w:t>Andere Prophylaktika haben keine (</w:t>
      </w:r>
      <w:proofErr w:type="spellStart"/>
      <w:r w:rsidR="00C53E7C" w:rsidRPr="00D41C6E">
        <w:rPr>
          <w:color w:val="0070C0"/>
        </w:rPr>
        <w:t>Doxyzyklin</w:t>
      </w:r>
      <w:proofErr w:type="spellEnd"/>
      <w:r w:rsidR="00C53E7C" w:rsidRPr="00D41C6E">
        <w:rPr>
          <w:color w:val="0070C0"/>
        </w:rPr>
        <w:t xml:space="preserve">) oder nur selten (Atovaquon/Proguanil) psychische NW. </w:t>
      </w:r>
      <w:r w:rsidR="00545D55" w:rsidRPr="00D41C6E">
        <w:rPr>
          <w:color w:val="0070C0"/>
        </w:rPr>
        <w:t>Malaria kann tödlich sein; ggf</w:t>
      </w:r>
      <w:r w:rsidR="00C53E7C" w:rsidRPr="00D41C6E">
        <w:rPr>
          <w:color w:val="0070C0"/>
        </w:rPr>
        <w:t>s</w:t>
      </w:r>
      <w:r w:rsidR="00545D55" w:rsidRPr="00D41C6E">
        <w:rPr>
          <w:color w:val="0070C0"/>
        </w:rPr>
        <w:t xml:space="preserve">. muss man daher </w:t>
      </w:r>
      <w:r w:rsidR="00C53E7C" w:rsidRPr="00D41C6E">
        <w:rPr>
          <w:color w:val="0070C0"/>
        </w:rPr>
        <w:t xml:space="preserve">andere geringfügige </w:t>
      </w:r>
      <w:r w:rsidR="00545D55" w:rsidRPr="00D41C6E">
        <w:rPr>
          <w:color w:val="0070C0"/>
        </w:rPr>
        <w:t xml:space="preserve">Nebenwirkungen, solange </w:t>
      </w:r>
      <w:r w:rsidR="00C53E7C" w:rsidRPr="00D41C6E">
        <w:rPr>
          <w:color w:val="0070C0"/>
        </w:rPr>
        <w:t>sie</w:t>
      </w:r>
      <w:r w:rsidR="00545D55" w:rsidRPr="00D41C6E">
        <w:rPr>
          <w:color w:val="0070C0"/>
        </w:rPr>
        <w:t xml:space="preserve"> </w:t>
      </w:r>
      <w:r w:rsidR="00180305" w:rsidRPr="00D41C6E">
        <w:rPr>
          <w:color w:val="0070C0"/>
        </w:rPr>
        <w:t xml:space="preserve">medizinisch </w:t>
      </w:r>
      <w:r w:rsidR="00545D55" w:rsidRPr="00D41C6E">
        <w:rPr>
          <w:color w:val="0070C0"/>
        </w:rPr>
        <w:t>vertretbar sind, in Kauf nehmen, wenn dies die einzige Option ist.</w:t>
      </w:r>
    </w:p>
    <w:p w:rsidR="00D41C6E" w:rsidRPr="00D41C6E" w:rsidRDefault="00D41C6E" w:rsidP="00D41C6E">
      <w:pPr>
        <w:pStyle w:val="Listenabsatz"/>
        <w:spacing w:line="240" w:lineRule="auto"/>
        <w:ind w:left="1440"/>
        <w:rPr>
          <w:color w:val="0070C0"/>
        </w:rPr>
      </w:pPr>
    </w:p>
    <w:p w:rsidR="001041C3" w:rsidRDefault="001041C3" w:rsidP="001041C3">
      <w:pPr>
        <w:pStyle w:val="Listenabsatz"/>
        <w:numPr>
          <w:ilvl w:val="1"/>
          <w:numId w:val="1"/>
        </w:numPr>
      </w:pPr>
      <w:r w:rsidRPr="001041C3">
        <w:rPr>
          <w:b/>
        </w:rPr>
        <w:t>Irritation:</w:t>
      </w:r>
      <w:r>
        <w:t xml:space="preserve"> Auch kam es vor, dass Malaria für 12 Monate verschrieben wurde, obwohl das Einsatzgebiet wirklich nicht in einem Malariagebiet liegt.</w:t>
      </w:r>
    </w:p>
    <w:p w:rsidR="00545D55" w:rsidRDefault="00D41C6E" w:rsidP="00F27C28">
      <w:pPr>
        <w:pStyle w:val="Listenabsatz"/>
        <w:ind w:left="1440"/>
      </w:pPr>
      <w:r w:rsidRPr="00D41C6E">
        <w:rPr>
          <w:color w:val="0070C0"/>
          <w:u w:val="single"/>
        </w:rPr>
        <w:t>Antwort</w:t>
      </w:r>
      <w:r w:rsidR="00545D55">
        <w:rPr>
          <w:color w:val="0070C0"/>
          <w:u w:val="single"/>
        </w:rPr>
        <w:t xml:space="preserve">: </w:t>
      </w:r>
      <w:r w:rsidR="00545D55" w:rsidRPr="00545D55">
        <w:rPr>
          <w:color w:val="0070C0"/>
        </w:rPr>
        <w:t xml:space="preserve">Das </w:t>
      </w:r>
      <w:r w:rsidR="00545D55">
        <w:rPr>
          <w:color w:val="0070C0"/>
        </w:rPr>
        <w:t>darf nicht sein und sollte sich mit Einführung der Ärztelisten auflösen.</w:t>
      </w:r>
    </w:p>
    <w:p w:rsidR="001041C3" w:rsidRDefault="001041C3" w:rsidP="001041C3">
      <w:pPr>
        <w:pStyle w:val="Listenabsatz"/>
        <w:ind w:left="1440"/>
      </w:pPr>
    </w:p>
    <w:p w:rsidR="004055F9" w:rsidRDefault="001041C3" w:rsidP="004055F9">
      <w:pPr>
        <w:pStyle w:val="Listenabsatz"/>
        <w:numPr>
          <w:ilvl w:val="0"/>
          <w:numId w:val="1"/>
        </w:numPr>
      </w:pPr>
      <w:r w:rsidRPr="001041C3">
        <w:rPr>
          <w:b/>
        </w:rPr>
        <w:t>Tropentauglich mit Einschränkungen</w:t>
      </w:r>
      <w:r>
        <w:t xml:space="preserve">: </w:t>
      </w:r>
      <w:r w:rsidR="004055F9">
        <w:t>Was folgt aus d</w:t>
      </w:r>
      <w:r>
        <w:t>iesem Hinweis, wenn weitere Hinweise fehlen? G</w:t>
      </w:r>
      <w:r w:rsidR="004055F9">
        <w:t>enauere Spezifikation was das bedeutet</w:t>
      </w:r>
      <w:r>
        <w:t xml:space="preserve"> werden nicht gegeben</w:t>
      </w:r>
      <w:r w:rsidR="004055F9">
        <w:t xml:space="preserve">. </w:t>
      </w:r>
      <w:r>
        <w:t>W</w:t>
      </w:r>
      <w:r w:rsidR="004055F9">
        <w:t>er trägt die Verantwortung</w:t>
      </w:r>
      <w:r w:rsidR="000F1769">
        <w:t xml:space="preserve"> für so eine Entsendung</w:t>
      </w:r>
      <w:r w:rsidR="004055F9">
        <w:t>? Einschränkungen müssen bekannt sein, um Lösungen zu finden.</w:t>
      </w:r>
    </w:p>
    <w:p w:rsidR="00F27C28" w:rsidRDefault="00D41C6E" w:rsidP="00F27C28">
      <w:pPr>
        <w:pStyle w:val="Listenabsatz"/>
        <w:rPr>
          <w:color w:val="0070C0"/>
        </w:rPr>
      </w:pPr>
      <w:r w:rsidRPr="00D41C6E">
        <w:rPr>
          <w:color w:val="0070C0"/>
          <w:u w:val="single"/>
        </w:rPr>
        <w:t>Antwort</w:t>
      </w:r>
      <w:r w:rsidR="00F27C28">
        <w:rPr>
          <w:color w:val="0070C0"/>
          <w:u w:val="single"/>
        </w:rPr>
        <w:t xml:space="preserve">: </w:t>
      </w:r>
      <w:r w:rsidR="00F27C28" w:rsidRPr="00F27C28">
        <w:rPr>
          <w:color w:val="0070C0"/>
        </w:rPr>
        <w:t xml:space="preserve">Es liegt auf der Hand, dass diese Einschränkungen </w:t>
      </w:r>
      <w:r w:rsidR="00180305">
        <w:rPr>
          <w:color w:val="0070C0"/>
        </w:rPr>
        <w:t xml:space="preserve">von den Ärzten konkret </w:t>
      </w:r>
      <w:r w:rsidR="00F27C28" w:rsidRPr="00F27C28">
        <w:rPr>
          <w:color w:val="0070C0"/>
        </w:rPr>
        <w:t>benannt we</w:t>
      </w:r>
      <w:r>
        <w:rPr>
          <w:color w:val="0070C0"/>
        </w:rPr>
        <w:t xml:space="preserve">rden müssen. So hatte sich auch Dr. Boecken am 13.12 bei der OT </w:t>
      </w:r>
      <w:r w:rsidR="00F27C28" w:rsidRPr="00F27C28">
        <w:rPr>
          <w:color w:val="0070C0"/>
        </w:rPr>
        <w:t>geäußert.</w:t>
      </w:r>
    </w:p>
    <w:p w:rsidR="00180305" w:rsidRPr="00180305" w:rsidRDefault="00180305" w:rsidP="00F27C28">
      <w:pPr>
        <w:pStyle w:val="Listenabsatz"/>
      </w:pPr>
      <w:r w:rsidRPr="00180305">
        <w:rPr>
          <w:color w:val="0070C0"/>
        </w:rPr>
        <w:t xml:space="preserve">Andernfalls ist der </w:t>
      </w:r>
      <w:r>
        <w:rPr>
          <w:color w:val="0070C0"/>
        </w:rPr>
        <w:t>erteilte medizinische Untersuchungs-Auftrag nicht abgeschlossen.</w:t>
      </w:r>
    </w:p>
    <w:p w:rsidR="002F44DB" w:rsidRDefault="001041C3" w:rsidP="004055F9">
      <w:pPr>
        <w:pStyle w:val="Listenabsatz"/>
        <w:numPr>
          <w:ilvl w:val="0"/>
          <w:numId w:val="1"/>
        </w:numPr>
      </w:pPr>
      <w:r w:rsidRPr="001041C3">
        <w:rPr>
          <w:b/>
        </w:rPr>
        <w:t>P</w:t>
      </w:r>
      <w:r w:rsidR="004055F9" w:rsidRPr="001041C3">
        <w:rPr>
          <w:b/>
        </w:rPr>
        <w:t>sychischen Erkrankungen:</w:t>
      </w:r>
      <w:r w:rsidR="004055F9">
        <w:t xml:space="preserve"> </w:t>
      </w:r>
    </w:p>
    <w:p w:rsidR="002F44DB" w:rsidRDefault="004055F9" w:rsidP="002F44DB">
      <w:pPr>
        <w:pStyle w:val="Listenabsatz"/>
        <w:numPr>
          <w:ilvl w:val="1"/>
          <w:numId w:val="1"/>
        </w:numPr>
      </w:pPr>
      <w:r>
        <w:t>welches Urteil hat mehr Gewicht, dass des Facharztes, der eine Entsendung befürwortet oder das des Tropenarztes, der</w:t>
      </w:r>
      <w:r w:rsidR="00C60F8F">
        <w:t xml:space="preserve"> die</w:t>
      </w:r>
      <w:r>
        <w:t xml:space="preserve"> </w:t>
      </w:r>
      <w:r w:rsidR="00C60F8F">
        <w:t>Tropentauglichkeit in Frage stellt.</w:t>
      </w:r>
    </w:p>
    <w:p w:rsidR="002F44DB" w:rsidRDefault="00C60F8F" w:rsidP="002F44DB">
      <w:pPr>
        <w:pStyle w:val="Listenabsatz"/>
        <w:numPr>
          <w:ilvl w:val="1"/>
          <w:numId w:val="1"/>
        </w:numPr>
      </w:pPr>
      <w:r>
        <w:t xml:space="preserve"> es </w:t>
      </w:r>
      <w:r w:rsidR="002F44DB">
        <w:t xml:space="preserve">ist </w:t>
      </w:r>
      <w:r>
        <w:t xml:space="preserve">im Vorfeld schwierig, zu klären, ob eine Entsendung sinnvoll/gefahrlos möglich ist. </w:t>
      </w:r>
    </w:p>
    <w:p w:rsidR="002F44DB" w:rsidRDefault="00C60F8F" w:rsidP="002F44DB">
      <w:pPr>
        <w:pStyle w:val="Listenabsatz"/>
        <w:numPr>
          <w:ilvl w:val="1"/>
          <w:numId w:val="1"/>
        </w:numPr>
      </w:pPr>
      <w:r>
        <w:t xml:space="preserve">eine sehr </w:t>
      </w:r>
      <w:r w:rsidR="00210F34">
        <w:t>individuelle Betrachtung und ein offenes Vertrauensverhältnis</w:t>
      </w:r>
      <w:r w:rsidR="002F44DB">
        <w:t xml:space="preserve"> sind</w:t>
      </w:r>
      <w:r w:rsidR="00210F34">
        <w:t xml:space="preserve"> nötig. </w:t>
      </w:r>
    </w:p>
    <w:p w:rsidR="002F44DB" w:rsidRDefault="00210F34" w:rsidP="002F44DB">
      <w:pPr>
        <w:pStyle w:val="Listenabsatz"/>
        <w:numPr>
          <w:ilvl w:val="1"/>
          <w:numId w:val="1"/>
        </w:numPr>
      </w:pPr>
      <w:r>
        <w:t xml:space="preserve">eine psychische Erkrankung </w:t>
      </w:r>
      <w:r w:rsidR="002F44DB">
        <w:t>sollte kein</w:t>
      </w:r>
      <w:r>
        <w:t xml:space="preserve"> Ausschlussgrund per se</w:t>
      </w:r>
      <w:r w:rsidR="002F44DB">
        <w:t xml:space="preserve"> sein</w:t>
      </w:r>
      <w:r>
        <w:t xml:space="preserve">. </w:t>
      </w:r>
    </w:p>
    <w:p w:rsidR="004055F9" w:rsidRDefault="002F44DB" w:rsidP="002F44DB">
      <w:pPr>
        <w:pStyle w:val="Listenabsatz"/>
        <w:numPr>
          <w:ilvl w:val="1"/>
          <w:numId w:val="1"/>
        </w:numPr>
      </w:pPr>
      <w:r>
        <w:t>Erfahrungen zeigen, dass w</w:t>
      </w:r>
      <w:r w:rsidR="00210F34">
        <w:t>enn bereits vor Ausreise im stabilen Zustand die Sachlage offengelegt</w:t>
      </w:r>
      <w:r>
        <w:t xml:space="preserve"> wird, e</w:t>
      </w:r>
      <w:r w:rsidR="00210F34">
        <w:t>s</w:t>
      </w:r>
      <w:r w:rsidR="000F1769">
        <w:t xml:space="preserve"> für den/die FW </w:t>
      </w:r>
      <w:r w:rsidR="00210F34">
        <w:t>einfacher</w:t>
      </w:r>
      <w:r>
        <w:t xml:space="preserve"> ist</w:t>
      </w:r>
      <w:r w:rsidR="00210F34">
        <w:t>, sollte es zu einem Rückfall/Ausbruch kommen, dies anzusprechen und d</w:t>
      </w:r>
      <w:r>
        <w:t xml:space="preserve">amit für die Entsendeorganisation </w:t>
      </w:r>
      <w:r w:rsidR="00210F34">
        <w:t xml:space="preserve">entsprechenden Maßnahmen einzuleiten. Positiv wurde von der Zusammenarbeit mit einem/r </w:t>
      </w:r>
      <w:proofErr w:type="spellStart"/>
      <w:r w:rsidR="00210F34">
        <w:t>PsychologIn</w:t>
      </w:r>
      <w:proofErr w:type="spellEnd"/>
      <w:r w:rsidR="00210F34">
        <w:t xml:space="preserve"> bereits vor Ausreise (Vorbereitungsseminar) berichtet, dass im Laufe des Jahres auch psychologische Online-Beratung anbietet. </w:t>
      </w:r>
    </w:p>
    <w:p w:rsidR="00F27C28" w:rsidRDefault="00D41C6E" w:rsidP="008A7124">
      <w:pPr>
        <w:spacing w:after="0"/>
        <w:ind w:left="720"/>
        <w:rPr>
          <w:color w:val="0070C0"/>
        </w:rPr>
      </w:pPr>
      <w:r w:rsidRPr="00D41C6E">
        <w:rPr>
          <w:color w:val="0070C0"/>
          <w:u w:val="single"/>
        </w:rPr>
        <w:t>Antwort</w:t>
      </w:r>
      <w:r w:rsidR="00F27C28" w:rsidRPr="00F27C28">
        <w:rPr>
          <w:color w:val="0070C0"/>
          <w:u w:val="single"/>
        </w:rPr>
        <w:t>:</w:t>
      </w:r>
      <w:r w:rsidR="00F27C28">
        <w:rPr>
          <w:color w:val="0070C0"/>
          <w:u w:val="single"/>
        </w:rPr>
        <w:t xml:space="preserve"> </w:t>
      </w:r>
      <w:r w:rsidR="00F27C28">
        <w:rPr>
          <w:color w:val="0070C0"/>
        </w:rPr>
        <w:t>Im Rahmen der Anamnese kann der Tropenmediziner nur grobe Annahmen zur p</w:t>
      </w:r>
      <w:r w:rsidR="00F27C28" w:rsidRPr="00F27C28">
        <w:rPr>
          <w:color w:val="0070C0"/>
        </w:rPr>
        <w:t>sychischen</w:t>
      </w:r>
      <w:r w:rsidR="00F27C28">
        <w:rPr>
          <w:color w:val="0070C0"/>
        </w:rPr>
        <w:t xml:space="preserve"> Gesundheit treffen. Wenn FW ein Statement eines Facharztes vorliegt</w:t>
      </w:r>
      <w:r w:rsidR="008A7124">
        <w:rPr>
          <w:color w:val="0070C0"/>
        </w:rPr>
        <w:t xml:space="preserve"> (z.B. zur psychischen Stabilität)</w:t>
      </w:r>
      <w:r w:rsidR="00F27C28">
        <w:rPr>
          <w:color w:val="0070C0"/>
        </w:rPr>
        <w:t>, sollte dies dem T</w:t>
      </w:r>
      <w:r w:rsidR="005A2797">
        <w:rPr>
          <w:color w:val="0070C0"/>
        </w:rPr>
        <w:t>r</w:t>
      </w:r>
      <w:r w:rsidR="00F27C28">
        <w:rPr>
          <w:color w:val="0070C0"/>
        </w:rPr>
        <w:t xml:space="preserve">openmediziner </w:t>
      </w:r>
      <w:r w:rsidR="004921AC">
        <w:rPr>
          <w:color w:val="0070C0"/>
        </w:rPr>
        <w:t xml:space="preserve">für die Gesamtentscheidung </w:t>
      </w:r>
      <w:r w:rsidR="005A2797">
        <w:rPr>
          <w:color w:val="0070C0"/>
        </w:rPr>
        <w:t xml:space="preserve">zur Eignung </w:t>
      </w:r>
      <w:r w:rsidR="004921AC">
        <w:rPr>
          <w:color w:val="0070C0"/>
        </w:rPr>
        <w:t>zugänglich gemacht</w:t>
      </w:r>
      <w:r w:rsidR="00F27C28">
        <w:rPr>
          <w:color w:val="0070C0"/>
        </w:rPr>
        <w:t xml:space="preserve"> werden.</w:t>
      </w:r>
    </w:p>
    <w:p w:rsidR="008A7124" w:rsidRDefault="008A7124" w:rsidP="00D41C6E">
      <w:pPr>
        <w:spacing w:after="0" w:line="240" w:lineRule="auto"/>
        <w:ind w:left="720"/>
        <w:rPr>
          <w:color w:val="0070C0"/>
        </w:rPr>
      </w:pPr>
    </w:p>
    <w:p w:rsidR="008A7124" w:rsidRDefault="008A7124" w:rsidP="008A7124">
      <w:pPr>
        <w:spacing w:after="0"/>
        <w:ind w:left="720"/>
        <w:rPr>
          <w:color w:val="0070C0"/>
        </w:rPr>
      </w:pPr>
      <w:r w:rsidRPr="008A7124">
        <w:rPr>
          <w:color w:val="0070C0"/>
        </w:rPr>
        <w:t xml:space="preserve">Ja, immer auch </w:t>
      </w:r>
      <w:r>
        <w:rPr>
          <w:color w:val="0070C0"/>
        </w:rPr>
        <w:t>individuelle Betrachtung im Rahmen eines gewissen Ermessens.</w:t>
      </w:r>
    </w:p>
    <w:p w:rsidR="008A7124" w:rsidRDefault="008A7124" w:rsidP="008A7124">
      <w:pPr>
        <w:spacing w:after="0"/>
        <w:ind w:left="720"/>
        <w:rPr>
          <w:color w:val="0070C0"/>
        </w:rPr>
      </w:pPr>
      <w:r>
        <w:rPr>
          <w:color w:val="0070C0"/>
        </w:rPr>
        <w:t xml:space="preserve">Kein automatischer Ausschlussgrund, aber eine ärztliche Aussage, die </w:t>
      </w:r>
      <w:r w:rsidR="00180305">
        <w:rPr>
          <w:color w:val="0070C0"/>
        </w:rPr>
        <w:t xml:space="preserve">die </w:t>
      </w:r>
      <w:r>
        <w:rPr>
          <w:color w:val="0070C0"/>
        </w:rPr>
        <w:t>psychische</w:t>
      </w:r>
      <w:r w:rsidRPr="008A7124">
        <w:rPr>
          <w:color w:val="0070C0"/>
        </w:rPr>
        <w:t xml:space="preserve"> Stabilität</w:t>
      </w:r>
      <w:r>
        <w:rPr>
          <w:color w:val="0070C0"/>
        </w:rPr>
        <w:t xml:space="preserve"> zumindest nicht anzweifelt,  sollte vorliegen.</w:t>
      </w:r>
    </w:p>
    <w:p w:rsidR="008A7124" w:rsidRPr="008A7124" w:rsidRDefault="008A7124" w:rsidP="008A7124">
      <w:pPr>
        <w:spacing w:after="0"/>
        <w:ind w:left="720"/>
      </w:pPr>
    </w:p>
    <w:p w:rsidR="00C60F8F" w:rsidRDefault="00C60F8F" w:rsidP="004055F9">
      <w:pPr>
        <w:pStyle w:val="Listenabsatz"/>
        <w:numPr>
          <w:ilvl w:val="0"/>
          <w:numId w:val="1"/>
        </w:numPr>
      </w:pPr>
      <w:r>
        <w:t xml:space="preserve">Eine </w:t>
      </w:r>
      <w:r w:rsidRPr="002F44DB">
        <w:rPr>
          <w:b/>
        </w:rPr>
        <w:t>Entbindung der Schweigepflicht</w:t>
      </w:r>
      <w:r>
        <w:t xml:space="preserve"> muss von den Entsendeorganisationen schon deshalb eingefordert werden, da diese Informationen für die Versicherung erforderlich sind.</w:t>
      </w:r>
    </w:p>
    <w:p w:rsidR="00C60F8F" w:rsidRDefault="00C60F8F" w:rsidP="004055F9">
      <w:pPr>
        <w:pStyle w:val="Listenabsatz"/>
        <w:numPr>
          <w:ilvl w:val="0"/>
          <w:numId w:val="1"/>
        </w:numPr>
        <w:rPr>
          <w:b/>
        </w:rPr>
      </w:pPr>
      <w:r>
        <w:t xml:space="preserve">Hinweis, dass es sich i.d.R. nicht um eine hohe Arbeitsbelastung handelt, der die FW ausgesetzt sind, in Krisengebiete erfolgt keine Ausreise, es handelt sich eher um </w:t>
      </w:r>
      <w:r w:rsidRPr="00F7331B">
        <w:rPr>
          <w:b/>
        </w:rPr>
        <w:t>positive Arbeitserfahrungen.</w:t>
      </w:r>
    </w:p>
    <w:p w:rsidR="00245DEB" w:rsidRDefault="00D41C6E" w:rsidP="00245DEB">
      <w:pPr>
        <w:pStyle w:val="Listenabsatz"/>
        <w:rPr>
          <w:color w:val="0070C0"/>
        </w:rPr>
      </w:pPr>
      <w:r>
        <w:rPr>
          <w:color w:val="0070C0"/>
          <w:u w:val="single"/>
        </w:rPr>
        <w:t>Antwort</w:t>
      </w:r>
      <w:r w:rsidR="00245DEB">
        <w:rPr>
          <w:color w:val="0070C0"/>
          <w:u w:val="single"/>
        </w:rPr>
        <w:t xml:space="preserve"> </w:t>
      </w:r>
      <w:r w:rsidR="00C61A49">
        <w:rPr>
          <w:color w:val="0070C0"/>
        </w:rPr>
        <w:t xml:space="preserve">Von dem </w:t>
      </w:r>
      <w:r w:rsidR="00180305">
        <w:rPr>
          <w:color w:val="0070C0"/>
        </w:rPr>
        <w:t xml:space="preserve">Ergebnis der </w:t>
      </w:r>
      <w:r w:rsidR="00180305" w:rsidRPr="00180305">
        <w:rPr>
          <w:color w:val="0070C0"/>
        </w:rPr>
        <w:t>Gesamttauglichkeit</w:t>
      </w:r>
      <w:r w:rsidR="00180305" w:rsidRPr="004921AC">
        <w:rPr>
          <w:color w:val="0070C0"/>
        </w:rPr>
        <w:t xml:space="preserve"> </w:t>
      </w:r>
      <w:r w:rsidR="00180305">
        <w:rPr>
          <w:color w:val="0070C0"/>
        </w:rPr>
        <w:t>/ eventuelle Nicht-Tauglichkeit im Einzelfall müssen die EOs Kenntnis haben.</w:t>
      </w:r>
    </w:p>
    <w:p w:rsidR="00D41C6E" w:rsidRPr="00D41C6E" w:rsidRDefault="00D41C6E" w:rsidP="00245DEB">
      <w:pPr>
        <w:pStyle w:val="Listenabsatz"/>
        <w:rPr>
          <w:b/>
        </w:rPr>
      </w:pPr>
      <w:r w:rsidRPr="00D41C6E">
        <w:rPr>
          <w:color w:val="0070C0"/>
        </w:rPr>
        <w:lastRenderedPageBreak/>
        <w:t>Da der Arzt / die Ärztin</w:t>
      </w:r>
      <w:r>
        <w:rPr>
          <w:color w:val="0070C0"/>
        </w:rPr>
        <w:t xml:space="preserve"> </w:t>
      </w:r>
      <w:r w:rsidR="0044614D">
        <w:rPr>
          <w:color w:val="0070C0"/>
        </w:rPr>
        <w:t xml:space="preserve">ausschließlich </w:t>
      </w:r>
      <w:r>
        <w:rPr>
          <w:color w:val="0070C0"/>
        </w:rPr>
        <w:t xml:space="preserve"> gegenüber dem / der Freiwilligen </w:t>
      </w:r>
      <w:r w:rsidR="0044614D">
        <w:rPr>
          <w:color w:val="0070C0"/>
        </w:rPr>
        <w:t xml:space="preserve">(=Patient/-in) </w:t>
      </w:r>
      <w:r>
        <w:rPr>
          <w:color w:val="0070C0"/>
        </w:rPr>
        <w:t>bescheinigt, gibt es</w:t>
      </w:r>
      <w:r w:rsidR="0044614D">
        <w:rPr>
          <w:color w:val="0070C0"/>
        </w:rPr>
        <w:t xml:space="preserve"> </w:t>
      </w:r>
      <w:r>
        <w:rPr>
          <w:color w:val="0070C0"/>
        </w:rPr>
        <w:t xml:space="preserve"> </w:t>
      </w:r>
      <w:r w:rsidR="0044614D">
        <w:rPr>
          <w:color w:val="0070C0"/>
        </w:rPr>
        <w:t xml:space="preserve">– auch nach Abstimmung mit der DTG und dem AA – keine Schwierigkeiten mit der „ärztlichen Schweigepflicht“. Allerdings muss zwischen EO und FW eine den Datenschutzauflagen gerecht werdende Regelung  getroffen werden (sofern eine solche noch nicht besteht), dass die EO die </w:t>
      </w:r>
      <w:r w:rsidR="009B1040">
        <w:rPr>
          <w:color w:val="0070C0"/>
        </w:rPr>
        <w:t xml:space="preserve">- </w:t>
      </w:r>
      <w:r w:rsidR="0044614D">
        <w:rPr>
          <w:color w:val="0070C0"/>
        </w:rPr>
        <w:t xml:space="preserve">mit der </w:t>
      </w:r>
      <w:r w:rsidR="009B1040">
        <w:rPr>
          <w:color w:val="0070C0"/>
        </w:rPr>
        <w:t>Weitergabe</w:t>
      </w:r>
      <w:r w:rsidR="0044614D">
        <w:rPr>
          <w:color w:val="0070C0"/>
        </w:rPr>
        <w:t xml:space="preserve"> der Bescheinigungen / Unterlagen und Rechnungen durch die FW</w:t>
      </w:r>
      <w:r w:rsidR="009B1040">
        <w:rPr>
          <w:color w:val="0070C0"/>
        </w:rPr>
        <w:t xml:space="preserve"> an sie</w:t>
      </w:r>
      <w:r w:rsidR="0044614D">
        <w:rPr>
          <w:color w:val="0070C0"/>
        </w:rPr>
        <w:t xml:space="preserve"> </w:t>
      </w:r>
      <w:r w:rsidR="009B1040">
        <w:rPr>
          <w:color w:val="0070C0"/>
        </w:rPr>
        <w:t>- erhaltenen</w:t>
      </w:r>
      <w:r w:rsidR="0044614D">
        <w:rPr>
          <w:color w:val="0070C0"/>
        </w:rPr>
        <w:t xml:space="preserve"> personenbezogenen (Gesundheits-)</w:t>
      </w:r>
      <w:r w:rsidR="009B1040">
        <w:rPr>
          <w:color w:val="0070C0"/>
        </w:rPr>
        <w:t xml:space="preserve"> </w:t>
      </w:r>
      <w:r w:rsidR="0044614D">
        <w:rPr>
          <w:color w:val="0070C0"/>
        </w:rPr>
        <w:t>Daten</w:t>
      </w:r>
      <w:r w:rsidR="009B1040">
        <w:rPr>
          <w:color w:val="0070C0"/>
        </w:rPr>
        <w:t xml:space="preserve"> des / der FW im Rahmen der Vorbereitung und Durchführung des ww-Freiwilligendienstvertrages im gebotenen Umfang </w:t>
      </w:r>
      <w:r w:rsidR="00AF7799">
        <w:rPr>
          <w:color w:val="0070C0"/>
        </w:rPr>
        <w:t>verwenden</w:t>
      </w:r>
      <w:r w:rsidR="009B1040">
        <w:rPr>
          <w:color w:val="0070C0"/>
        </w:rPr>
        <w:t xml:space="preserve"> </w:t>
      </w:r>
      <w:r w:rsidR="00AF7799">
        <w:rPr>
          <w:color w:val="0070C0"/>
        </w:rPr>
        <w:t>(verarbeiten</w:t>
      </w:r>
      <w:r w:rsidR="0021132D">
        <w:rPr>
          <w:color w:val="0070C0"/>
        </w:rPr>
        <w:t xml:space="preserve"> u. </w:t>
      </w:r>
      <w:r w:rsidR="00AF7799">
        <w:rPr>
          <w:color w:val="0070C0"/>
        </w:rPr>
        <w:t>speichern</w:t>
      </w:r>
      <w:r w:rsidR="0021132D">
        <w:rPr>
          <w:color w:val="0070C0"/>
        </w:rPr>
        <w:t xml:space="preserve">) </w:t>
      </w:r>
      <w:r w:rsidR="009B1040">
        <w:rPr>
          <w:color w:val="0070C0"/>
        </w:rPr>
        <w:t>dürfen.</w:t>
      </w:r>
    </w:p>
    <w:p w:rsidR="008A7124" w:rsidRPr="00F7331B" w:rsidRDefault="008A7124" w:rsidP="008A7124">
      <w:pPr>
        <w:pStyle w:val="Listenabsatz"/>
        <w:rPr>
          <w:b/>
        </w:rPr>
      </w:pPr>
    </w:p>
    <w:p w:rsidR="000F1769" w:rsidRDefault="000F1769" w:rsidP="000F1769">
      <w:pPr>
        <w:pStyle w:val="Listenabsatz"/>
        <w:numPr>
          <w:ilvl w:val="0"/>
          <w:numId w:val="1"/>
        </w:numPr>
      </w:pPr>
      <w:r>
        <w:t>Gerade die Tropeninstitute (Heidelberg) haben sehr hohe Rechnungen geschickt, oder sehr unterschiedliche (Charité), da wäre auch eine Klärung sinnvoll.</w:t>
      </w:r>
    </w:p>
    <w:p w:rsidR="000F1769" w:rsidRDefault="000F1769" w:rsidP="000F1769">
      <w:pPr>
        <w:pStyle w:val="Listenabsatz"/>
        <w:numPr>
          <w:ilvl w:val="0"/>
          <w:numId w:val="1"/>
        </w:numPr>
      </w:pPr>
      <w:r>
        <w:t xml:space="preserve">Die Begründung für </w:t>
      </w:r>
      <w:r w:rsidRPr="00F7331B">
        <w:rPr>
          <w:b/>
        </w:rPr>
        <w:t>höhere Abrechnungen</w:t>
      </w:r>
      <w:r>
        <w:t xml:space="preserve"> ist sehr unverständlich und beinhaltet im Extremfall nur ein Wort (med. Fachbegriff). Hier ist die Frage, wer das beurteilen soll/will.</w:t>
      </w:r>
    </w:p>
    <w:p w:rsidR="004921AC" w:rsidRDefault="0021132D" w:rsidP="00180305">
      <w:pPr>
        <w:pStyle w:val="Listenabsatz"/>
        <w:rPr>
          <w:color w:val="0070C0"/>
        </w:rPr>
      </w:pPr>
      <w:r>
        <w:rPr>
          <w:color w:val="0070C0"/>
          <w:u w:val="single"/>
        </w:rPr>
        <w:t>Antwort</w:t>
      </w:r>
      <w:r w:rsidR="00180305" w:rsidRPr="00F27C28">
        <w:rPr>
          <w:color w:val="0070C0"/>
          <w:u w:val="single"/>
        </w:rPr>
        <w:t>:</w:t>
      </w:r>
      <w:r w:rsidR="00180305">
        <w:rPr>
          <w:color w:val="0070C0"/>
          <w:u w:val="single"/>
        </w:rPr>
        <w:t xml:space="preserve"> </w:t>
      </w:r>
      <w:r w:rsidR="004921AC" w:rsidRPr="004921AC">
        <w:rPr>
          <w:color w:val="0070C0"/>
        </w:rPr>
        <w:t xml:space="preserve">Das </w:t>
      </w:r>
      <w:r w:rsidR="004921AC">
        <w:rPr>
          <w:color w:val="0070C0"/>
        </w:rPr>
        <w:t>Phänomen „überhöhte Rechnungen“ sollte sich ebenfalls mit Einführung der Ärztelisten auflösen, da die dort gelisteten Ärzte/-innen das Verfahren bzw. die Rahmenbedingungen kennen.</w:t>
      </w:r>
    </w:p>
    <w:p w:rsidR="00180305" w:rsidRDefault="004921AC" w:rsidP="00180305">
      <w:pPr>
        <w:pStyle w:val="Listenabsatz"/>
        <w:rPr>
          <w:color w:val="0070C0"/>
        </w:rPr>
      </w:pPr>
      <w:r w:rsidRPr="004921AC">
        <w:rPr>
          <w:color w:val="0070C0"/>
        </w:rPr>
        <w:t xml:space="preserve">Soweit eine  </w:t>
      </w:r>
      <w:r>
        <w:rPr>
          <w:color w:val="0070C0"/>
        </w:rPr>
        <w:t>höhere Summe als gem. Basisleistungskatalog</w:t>
      </w:r>
      <w:r w:rsidR="0021132D">
        <w:rPr>
          <w:color w:val="0070C0"/>
        </w:rPr>
        <w:t>e</w:t>
      </w:r>
      <w:r>
        <w:rPr>
          <w:color w:val="0070C0"/>
        </w:rPr>
        <w:t xml:space="preserve"> </w:t>
      </w:r>
      <w:r w:rsidR="00C61A49">
        <w:rPr>
          <w:color w:val="0070C0"/>
        </w:rPr>
        <w:t xml:space="preserve">vorgesehen </w:t>
      </w:r>
      <w:r>
        <w:rPr>
          <w:color w:val="0070C0"/>
        </w:rPr>
        <w:t>in Rechnung gestellt wird</w:t>
      </w:r>
      <w:r w:rsidR="00BB78B7">
        <w:rPr>
          <w:color w:val="0070C0"/>
        </w:rPr>
        <w:t xml:space="preserve">, muss eine kurze Begründung dafür angegeben </w:t>
      </w:r>
      <w:r w:rsidR="00C61A49">
        <w:rPr>
          <w:color w:val="0070C0"/>
        </w:rPr>
        <w:t>sein</w:t>
      </w:r>
      <w:r w:rsidR="00BB78B7">
        <w:rPr>
          <w:color w:val="0070C0"/>
        </w:rPr>
        <w:t xml:space="preserve">. Ein einzelnes Wort ist sicher nicht ausreichend. Ansonsten beschränkt sich der Prüfungsaufwand der EOs jedoch nur darauf, ob eine Begründung für die erforderliche ärztliche Mehrleistung vorliegt oder nicht, wenn der Schwellenwert </w:t>
      </w:r>
      <w:r w:rsidR="0021132D">
        <w:rPr>
          <w:color w:val="0070C0"/>
        </w:rPr>
        <w:t xml:space="preserve">der Basisleistungen </w:t>
      </w:r>
      <w:r w:rsidR="00BB78B7">
        <w:rPr>
          <w:color w:val="0070C0"/>
        </w:rPr>
        <w:t>überschritten wird.</w:t>
      </w:r>
    </w:p>
    <w:p w:rsidR="00BB78B7" w:rsidRPr="004921AC" w:rsidRDefault="00BB78B7" w:rsidP="00180305">
      <w:pPr>
        <w:pStyle w:val="Listenabsatz"/>
      </w:pPr>
    </w:p>
    <w:p w:rsidR="000F1769" w:rsidRDefault="000F1769" w:rsidP="000F1769">
      <w:pPr>
        <w:pStyle w:val="Listenabsatz"/>
        <w:numPr>
          <w:ilvl w:val="0"/>
          <w:numId w:val="1"/>
        </w:numPr>
      </w:pPr>
      <w:r>
        <w:t xml:space="preserve">Wiederholt aufgegriffen wurde die Frage nach den </w:t>
      </w:r>
      <w:r w:rsidRPr="00F7331B">
        <w:rPr>
          <w:b/>
        </w:rPr>
        <w:t>Fahrtkosten</w:t>
      </w:r>
      <w:r>
        <w:t xml:space="preserve">, da es schnell auch mal zu 200 km Anfahrt kommen kann. </w:t>
      </w:r>
    </w:p>
    <w:p w:rsidR="0021132D" w:rsidRDefault="0021132D" w:rsidP="00BB78B7">
      <w:pPr>
        <w:pStyle w:val="Listenabsatz"/>
        <w:rPr>
          <w:color w:val="0070C0"/>
        </w:rPr>
      </w:pPr>
      <w:r>
        <w:rPr>
          <w:color w:val="0070C0"/>
          <w:u w:val="single"/>
        </w:rPr>
        <w:t>Antwort</w:t>
      </w:r>
      <w:r w:rsidR="00BB78B7" w:rsidRPr="00F27C28">
        <w:rPr>
          <w:color w:val="0070C0"/>
          <w:u w:val="single"/>
        </w:rPr>
        <w:t>:</w:t>
      </w:r>
      <w:r w:rsidR="00BB78B7">
        <w:rPr>
          <w:color w:val="0070C0"/>
          <w:u w:val="single"/>
        </w:rPr>
        <w:t xml:space="preserve"> </w:t>
      </w:r>
      <w:r w:rsidR="00BB78B7">
        <w:rPr>
          <w:color w:val="0070C0"/>
        </w:rPr>
        <w:t>Eine Über</w:t>
      </w:r>
      <w:r>
        <w:rPr>
          <w:color w:val="0070C0"/>
        </w:rPr>
        <w:t>nahme von Fahrtkosten ist nicht möglich</w:t>
      </w:r>
      <w:r w:rsidR="00BB78B7">
        <w:rPr>
          <w:color w:val="0070C0"/>
        </w:rPr>
        <w:t xml:space="preserve">. </w:t>
      </w:r>
    </w:p>
    <w:p w:rsidR="00BB78B7" w:rsidRPr="0021132D" w:rsidRDefault="00BB78B7" w:rsidP="0021132D">
      <w:pPr>
        <w:pStyle w:val="Listenabsatz"/>
        <w:rPr>
          <w:color w:val="0070C0"/>
        </w:rPr>
      </w:pPr>
      <w:r>
        <w:rPr>
          <w:color w:val="0070C0"/>
        </w:rPr>
        <w:t xml:space="preserve">Insbesondere auch mit Einführung der Ärztelisten sollte bald eine flächendeckende „Untersuchungs-Infrastruktur“ zur Verfügung stehen. </w:t>
      </w:r>
      <w:r w:rsidR="0021132D">
        <w:rPr>
          <w:color w:val="0070C0"/>
        </w:rPr>
        <w:t>Im Übrigen</w:t>
      </w:r>
      <w:r>
        <w:rPr>
          <w:color w:val="0070C0"/>
        </w:rPr>
        <w:t xml:space="preserve"> sind </w:t>
      </w:r>
      <w:r w:rsidR="0021132D">
        <w:rPr>
          <w:color w:val="0070C0"/>
        </w:rPr>
        <w:t xml:space="preserve">aber </w:t>
      </w:r>
      <w:r>
        <w:rPr>
          <w:color w:val="0070C0"/>
        </w:rPr>
        <w:t>auch Ärzte/-innen</w:t>
      </w:r>
      <w:r w:rsidRPr="00BB78B7">
        <w:rPr>
          <w:color w:val="0070C0"/>
        </w:rPr>
        <w:t xml:space="preserve"> </w:t>
      </w:r>
      <w:r w:rsidR="00C61A49">
        <w:rPr>
          <w:color w:val="0070C0"/>
        </w:rPr>
        <w:t xml:space="preserve">- </w:t>
      </w:r>
      <w:r>
        <w:rPr>
          <w:color w:val="0070C0"/>
        </w:rPr>
        <w:t xml:space="preserve">außerhalb der Listen, die den Qualifikationsanforderungen entsprechen, </w:t>
      </w:r>
      <w:r w:rsidR="00C61A49">
        <w:rPr>
          <w:color w:val="0070C0"/>
        </w:rPr>
        <w:t xml:space="preserve">nicht per se ausgeschlossen. </w:t>
      </w:r>
      <w:r w:rsidR="00C61A49" w:rsidRPr="0021132D">
        <w:rPr>
          <w:color w:val="0070C0"/>
        </w:rPr>
        <w:t>Es besteht dann lediglich ein etwas umfangreicher Informationsbedarf zum Verfahren / Abrechnungsmodu</w:t>
      </w:r>
      <w:r w:rsidR="0021132D" w:rsidRPr="0021132D">
        <w:rPr>
          <w:color w:val="0070C0"/>
        </w:rPr>
        <w:t xml:space="preserve">s gegenüber diesen Ärzte/-innen, die dieses Verfahren (einschließlich der Höchstbeträge für Basisleistungen) </w:t>
      </w:r>
      <w:r w:rsidR="0021132D">
        <w:rPr>
          <w:color w:val="0070C0"/>
        </w:rPr>
        <w:t>entweder akzeptieren oder nicht daran teilnehmen können.</w:t>
      </w:r>
    </w:p>
    <w:p w:rsidR="00BB78B7" w:rsidRDefault="00BB78B7" w:rsidP="00BB78B7">
      <w:pPr>
        <w:pStyle w:val="Listenabsatz"/>
      </w:pPr>
    </w:p>
    <w:p w:rsidR="000F1769" w:rsidRDefault="000F1769" w:rsidP="000F1769"/>
    <w:sectPr w:rsidR="000F17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56A59"/>
    <w:multiLevelType w:val="hybridMultilevel"/>
    <w:tmpl w:val="BE5C661E"/>
    <w:lvl w:ilvl="0" w:tplc="68C4C18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7A313F"/>
    <w:multiLevelType w:val="hybridMultilevel"/>
    <w:tmpl w:val="DA766EF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9"/>
    <w:rsid w:val="000F1769"/>
    <w:rsid w:val="001041C3"/>
    <w:rsid w:val="00180305"/>
    <w:rsid w:val="00210F34"/>
    <w:rsid w:val="0021132D"/>
    <w:rsid w:val="00245DEB"/>
    <w:rsid w:val="002F44DB"/>
    <w:rsid w:val="00316C0C"/>
    <w:rsid w:val="004055F9"/>
    <w:rsid w:val="0044614D"/>
    <w:rsid w:val="004921AC"/>
    <w:rsid w:val="004D15C1"/>
    <w:rsid w:val="00545D55"/>
    <w:rsid w:val="005A2797"/>
    <w:rsid w:val="00742549"/>
    <w:rsid w:val="007459CA"/>
    <w:rsid w:val="00795425"/>
    <w:rsid w:val="008A7124"/>
    <w:rsid w:val="009B1040"/>
    <w:rsid w:val="009D436F"/>
    <w:rsid w:val="00A93AB6"/>
    <w:rsid w:val="00AA4897"/>
    <w:rsid w:val="00AF7799"/>
    <w:rsid w:val="00BB78B7"/>
    <w:rsid w:val="00C53E7C"/>
    <w:rsid w:val="00C60F8F"/>
    <w:rsid w:val="00C61A49"/>
    <w:rsid w:val="00C63D49"/>
    <w:rsid w:val="00D41C6E"/>
    <w:rsid w:val="00E777E4"/>
    <w:rsid w:val="00EF422B"/>
    <w:rsid w:val="00F27C28"/>
    <w:rsid w:val="00F73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31542-9F15-4BFD-AE79-3D6CD1A6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55F9"/>
    <w:pPr>
      <w:ind w:left="720"/>
      <w:contextualSpacing/>
    </w:pPr>
  </w:style>
  <w:style w:type="paragraph" w:styleId="Sprechblasentext">
    <w:name w:val="Balloon Text"/>
    <w:basedOn w:val="Standard"/>
    <w:link w:val="SprechblasentextZchn"/>
    <w:uiPriority w:val="99"/>
    <w:semiHidden/>
    <w:unhideWhenUsed/>
    <w:rsid w:val="00A93A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3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B379CC43.dotm</Template>
  <TotalTime>0</TotalTime>
  <Pages>3</Pages>
  <Words>1089</Words>
  <Characters>6864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Jacobi-Gies, Julia (F14)</dc:creator>
  <cp:keywords/>
  <dc:description/>
  <cp:lastModifiedBy>Jacobi-Gies, Julia (F14)</cp:lastModifiedBy>
  <cp:revision>2</cp:revision>
  <dcterms:created xsi:type="dcterms:W3CDTF">2020-02-13T07:46:00Z</dcterms:created>
  <dcterms:modified xsi:type="dcterms:W3CDTF">2020-02-13T07:46:00Z</dcterms:modified>
</cp:coreProperties>
</file>